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88093166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31397" w:rsidRPr="00A31397">
        <w:rPr>
          <w:rFonts w:ascii="Century Gothic" w:hAnsi="Century Gothic"/>
          <w:b/>
          <w:sz w:val="24"/>
          <w:szCs w:val="24"/>
        </w:rPr>
        <w:t>Décima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="000655C8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655C8">
        <w:rPr>
          <w:rFonts w:ascii="Century Gothic" w:hAnsi="Century Gothic"/>
          <w:b/>
          <w:sz w:val="24"/>
          <w:szCs w:val="24"/>
        </w:rPr>
        <w:t>veinticuatro</w:t>
      </w:r>
      <w:r w:rsidR="00BD4C3F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655C8" w:rsidRPr="0052553A" w:rsidRDefault="000655C8" w:rsidP="000655C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655C8" w:rsidRPr="0052553A" w:rsidRDefault="000655C8" w:rsidP="000655C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655C8" w:rsidRPr="0052553A" w:rsidRDefault="000655C8" w:rsidP="000655C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31/2020-3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Quinto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238/2019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0655C8" w:rsidP="000655C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</w:t>
      </w:r>
      <w:r w:rsidRPr="000655C8">
        <w:rPr>
          <w:rFonts w:ascii="Century Gothic" w:hAnsi="Century Gothic"/>
          <w:sz w:val="24"/>
          <w:szCs w:val="24"/>
        </w:rPr>
        <w:t>de Reclamación 225/2019 en cumplimiento al Juicio de Amparo 238/2019 del Quinto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655C8">
        <w:rPr>
          <w:rFonts w:ascii="Century Gothic" w:hAnsi="Century Gothic"/>
          <w:b/>
          <w:sz w:val="24"/>
          <w:szCs w:val="24"/>
        </w:rPr>
        <w:t>VEINTITRES</w:t>
      </w:r>
      <w:bookmarkStart w:id="0" w:name="_GoBack"/>
      <w:bookmarkEnd w:id="0"/>
      <w:r w:rsidR="00176ABC">
        <w:rPr>
          <w:rFonts w:ascii="Century Gothic" w:hAnsi="Century Gothic"/>
          <w:b/>
          <w:sz w:val="24"/>
          <w:szCs w:val="24"/>
        </w:rPr>
        <w:t xml:space="preserve"> DE ENERO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88093166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B98C-E80A-48F6-9791-3AB42783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2020-01-27T18:27:00Z</dcterms:created>
  <dcterms:modified xsi:type="dcterms:W3CDTF">2020-01-27T18:27:00Z</dcterms:modified>
</cp:coreProperties>
</file>